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柳州工学院公开招聘校长助理兼评建办公室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（教学质量监控与评价处合署）主任报名表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一、基本情况</w:t>
      </w:r>
    </w:p>
    <w:tbl>
      <w:tblPr>
        <w:tblStyle w:val="5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74"/>
        <w:gridCol w:w="860"/>
        <w:gridCol w:w="190"/>
        <w:gridCol w:w="405"/>
        <w:gridCol w:w="60"/>
        <w:gridCol w:w="808"/>
        <w:gridCol w:w="805"/>
        <w:gridCol w:w="764"/>
        <w:gridCol w:w="653"/>
        <w:gridCol w:w="631"/>
        <w:gridCol w:w="787"/>
        <w:gridCol w:w="481"/>
        <w:gridCol w:w="8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0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现专业技术</w:t>
            </w:r>
            <w:r>
              <w:rPr>
                <w:rFonts w:hint="eastAsia" w:cs="仿宋"/>
                <w:color w:val="auto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及取得时间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职业资格证书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最高学历学位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及毕业学校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手机：  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个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人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简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历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1.学习经历（从大学本科开始至最高学历）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2.工作经历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况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3.家庭基本情况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包含但不限于配偶、子女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现工作单位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63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22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二、近五年内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  <w:t>取得的主要业绩成果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1.获得奖励、荣誉</w:t>
      </w:r>
    </w:p>
    <w:tbl>
      <w:tblPr>
        <w:tblStyle w:val="5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843"/>
        <w:gridCol w:w="198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2" w:hRule="atLeas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所获奖励、荣誉名称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类别和等级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授予单位</w:t>
            </w: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.其他突出业绩</w:t>
      </w:r>
    </w:p>
    <w:tbl>
      <w:tblPr>
        <w:tblStyle w:val="5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聘期工作计划（履职工作思路）</w:t>
      </w:r>
    </w:p>
    <w:tbl>
      <w:tblPr>
        <w:tblStyle w:val="5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其他需说明的事项</w:t>
      </w:r>
    </w:p>
    <w:tbl>
      <w:tblPr>
        <w:tblStyle w:val="5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9175" w:type="dxa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9175" w:type="dxa"/>
            <w:vAlign w:val="center"/>
          </w:tcPr>
          <w:p>
            <w:pPr>
              <w:spacing w:line="500" w:lineRule="exact"/>
              <w:ind w:firstLine="560" w:firstLineChars="20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本人承诺：对报名表所填信息的真实性负责。如有不实，愿意承担一切责任。</w:t>
            </w:r>
          </w:p>
          <w:p>
            <w:pPr>
              <w:spacing w:line="500" w:lineRule="exact"/>
              <w:ind w:firstLine="5460" w:firstLineChars="195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应聘者签名：   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</w:t>
            </w: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  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 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</w:p>
    <w:p/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0NmVlYzhlNDcxYjM3YjRlZDI0MzAwNzkxZGY0NmYifQ=="/>
  </w:docVars>
  <w:rsids>
    <w:rsidRoot w:val="76A47841"/>
    <w:rsid w:val="6E1312A6"/>
    <w:rsid w:val="76A47841"/>
    <w:rsid w:val="7A6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2024-02-27T08:38:00Z</dcterms:created>
  <dc:creator>水清</dc:creator>
  <cp:lastModifiedBy>水清</cp:lastModifiedBy>
  <dcterms:modified xsi:type="dcterms:W3CDTF">2024-02-27T08:40:25Z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F4589DC07F7743D7AEF2DD5D43BD4529_11</vt:lpwstr>
  </property>
</Properties>
</file>